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F8571" w14:textId="2016FC8E" w:rsidR="008829A4" w:rsidRPr="009C1B05" w:rsidRDefault="00DA0C17" w:rsidP="00DA0C17">
      <w:pPr>
        <w:pStyle w:val="Textoindependiente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0B45D9">
        <w:rPr>
          <w:rFonts w:ascii="Arial" w:hAnsi="Arial" w:cs="Arial"/>
          <w:b/>
          <w:sz w:val="22"/>
          <w:szCs w:val="22"/>
        </w:rPr>
        <w:t>15</w:t>
      </w:r>
    </w:p>
    <w:p w14:paraId="29FE6068" w14:textId="77777777" w:rsidR="00ED31D6" w:rsidRPr="00A45490" w:rsidRDefault="00ED31D6" w:rsidP="00ED31D6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eastAsia="es-ES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es-ES"/>
        </w:rPr>
        <w:t>OFERTA ECONÓMICA</w:t>
      </w:r>
    </w:p>
    <w:p w14:paraId="090DA992" w14:textId="4E815DAD" w:rsidR="00ED31D6" w:rsidRPr="00634705" w:rsidRDefault="00D7744A" w:rsidP="00C3749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PROCESO DE </w:t>
      </w:r>
      <w:r w:rsidR="00477F73" w:rsidRPr="2E63E91D">
        <w:rPr>
          <w:rFonts w:ascii="Arial" w:hAnsi="Arial" w:cs="Arial"/>
          <w:b/>
          <w:bCs/>
        </w:rPr>
        <w:t xml:space="preserve">SELECCIÓN </w:t>
      </w:r>
      <w:r w:rsidR="00C3749E">
        <w:rPr>
          <w:rFonts w:ascii="Arial" w:hAnsi="Arial" w:cs="Arial"/>
          <w:b/>
          <w:bCs/>
        </w:rPr>
        <w:t>CONCURSO DE MERITOS ABIERTO</w:t>
      </w:r>
      <w:r w:rsidR="00477F73">
        <w:rPr>
          <w:rFonts w:ascii="Arial" w:hAnsi="Arial" w:cs="Arial"/>
          <w:b/>
          <w:bCs/>
        </w:rPr>
        <w:t xml:space="preserve"> </w:t>
      </w:r>
      <w:r w:rsidR="00477F73" w:rsidRPr="2E63E91D">
        <w:rPr>
          <w:rFonts w:ascii="Arial" w:hAnsi="Arial" w:cs="Arial"/>
          <w:b/>
          <w:bCs/>
        </w:rPr>
        <w:t xml:space="preserve">No. </w:t>
      </w:r>
      <w:r w:rsidR="00C3749E" w:rsidRPr="00C3749E">
        <w:rPr>
          <w:rFonts w:ascii="Arial" w:hAnsi="Arial" w:cs="Arial"/>
          <w:b/>
          <w:bCs/>
        </w:rPr>
        <w:t>SSF CMA 001 DE 2026 (CONSULTORIA)</w:t>
      </w:r>
    </w:p>
    <w:p w14:paraId="6B0EE177" w14:textId="153ECE10" w:rsidR="008829A4" w:rsidRPr="00634705" w:rsidRDefault="008829A4" w:rsidP="008829A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34705">
        <w:rPr>
          <w:rFonts w:ascii="Arial" w:hAnsi="Arial" w:cs="Arial"/>
          <w:sz w:val="22"/>
          <w:szCs w:val="22"/>
        </w:rPr>
        <w:t xml:space="preserve">Bogotá, D.C, </w:t>
      </w:r>
    </w:p>
    <w:p w14:paraId="34EC92E2" w14:textId="77777777" w:rsidR="008829A4" w:rsidRPr="009C1B05" w:rsidRDefault="008829A4" w:rsidP="008829A4">
      <w:pPr>
        <w:pStyle w:val="Default"/>
        <w:jc w:val="both"/>
        <w:rPr>
          <w:rFonts w:ascii="Arial" w:hAnsi="Arial" w:cs="Arial"/>
          <w:color w:val="A6A6A6"/>
          <w:sz w:val="22"/>
          <w:szCs w:val="22"/>
        </w:rPr>
      </w:pPr>
      <w:r w:rsidRPr="009C1B05">
        <w:rPr>
          <w:rFonts w:ascii="Arial" w:hAnsi="Arial" w:cs="Arial"/>
          <w:color w:val="A6A6A6"/>
          <w:sz w:val="22"/>
          <w:szCs w:val="22"/>
        </w:rPr>
        <w:t>Fecha</w:t>
      </w:r>
    </w:p>
    <w:p w14:paraId="72CBBD4B" w14:textId="77777777" w:rsidR="008829A4" w:rsidRPr="009C1B05" w:rsidRDefault="008829A4" w:rsidP="008829A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29D43F" w14:textId="77777777" w:rsidR="008829A4" w:rsidRPr="009C1B05" w:rsidRDefault="008829A4" w:rsidP="008829A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C1B05">
        <w:rPr>
          <w:rFonts w:ascii="Arial" w:hAnsi="Arial" w:cs="Arial"/>
          <w:sz w:val="22"/>
          <w:szCs w:val="22"/>
        </w:rPr>
        <w:t>Señores</w:t>
      </w:r>
    </w:p>
    <w:p w14:paraId="18C01AE1" w14:textId="77777777" w:rsidR="008829A4" w:rsidRPr="009C1B05" w:rsidRDefault="008829A4" w:rsidP="008829A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9C1B05">
        <w:rPr>
          <w:rFonts w:ascii="Arial" w:hAnsi="Arial" w:cs="Arial"/>
          <w:sz w:val="22"/>
          <w:szCs w:val="22"/>
        </w:rPr>
        <w:t>Superintendencia del Subsidio Familiar</w:t>
      </w:r>
      <w:r w:rsidRPr="009C1B05">
        <w:rPr>
          <w:rFonts w:ascii="Arial" w:hAnsi="Arial" w:cs="Arial"/>
          <w:color w:val="A6A6A6"/>
          <w:sz w:val="22"/>
          <w:szCs w:val="22"/>
        </w:rPr>
        <w:t xml:space="preserve"> </w:t>
      </w:r>
    </w:p>
    <w:p w14:paraId="1CD3E0BD" w14:textId="77777777" w:rsidR="008829A4" w:rsidRPr="009C1B05" w:rsidRDefault="008829A4" w:rsidP="008829A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C1B05">
        <w:rPr>
          <w:rFonts w:ascii="Arial" w:hAnsi="Arial" w:cs="Arial"/>
          <w:sz w:val="22"/>
          <w:szCs w:val="22"/>
        </w:rPr>
        <w:t>Ciudad.</w:t>
      </w:r>
    </w:p>
    <w:p w14:paraId="07617294" w14:textId="77777777" w:rsidR="008829A4" w:rsidRPr="009C1B05" w:rsidRDefault="008829A4" w:rsidP="008829A4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14:paraId="7AA8599D" w14:textId="77777777" w:rsidR="008829A4" w:rsidRPr="009C1B05" w:rsidRDefault="008829A4" w:rsidP="008829A4">
      <w:pPr>
        <w:spacing w:after="0" w:line="240" w:lineRule="auto"/>
        <w:jc w:val="both"/>
        <w:rPr>
          <w:rFonts w:ascii="Arial" w:hAnsi="Arial" w:cs="Arial"/>
        </w:rPr>
      </w:pPr>
    </w:p>
    <w:p w14:paraId="2782DF16" w14:textId="05CDBC04" w:rsidR="008829A4" w:rsidRDefault="008829A4" w:rsidP="008829A4">
      <w:pPr>
        <w:spacing w:after="0" w:line="240" w:lineRule="auto"/>
        <w:jc w:val="both"/>
        <w:rPr>
          <w:rFonts w:ascii="Arial" w:hAnsi="Arial" w:cs="Arial"/>
        </w:rPr>
      </w:pPr>
      <w:r w:rsidRPr="009C1B05">
        <w:rPr>
          <w:rFonts w:ascii="Arial" w:hAnsi="Arial" w:cs="Arial"/>
        </w:rPr>
        <w:t>Para efectos del proceso de selección la propuesta económica requerida es la siguiente, teniendo en cuenta los valores de referencia de los precios/valores unitarios, y dicha propuesta cumple con lo requerido en el pliego de condiciones:</w:t>
      </w:r>
    </w:p>
    <w:p w14:paraId="16350B1D" w14:textId="77777777" w:rsidR="00C3749E" w:rsidRDefault="00C3749E" w:rsidP="008829A4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3321"/>
        <w:gridCol w:w="1653"/>
        <w:gridCol w:w="945"/>
        <w:gridCol w:w="1054"/>
        <w:gridCol w:w="1084"/>
      </w:tblGrid>
      <w:tr w:rsidR="009344AC" w:rsidRPr="002F68DD" w14:paraId="62433C4C" w14:textId="77777777" w:rsidTr="00001C11">
        <w:trPr>
          <w:trHeight w:val="20"/>
        </w:trPr>
        <w:tc>
          <w:tcPr>
            <w:tcW w:w="437" w:type="pct"/>
            <w:vMerge w:val="restart"/>
            <w:shd w:val="clear" w:color="000000" w:fill="6B0021"/>
            <w:vAlign w:val="center"/>
            <w:hideMark/>
          </w:tcPr>
          <w:p w14:paraId="58A4F8C4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Ítem</w:t>
            </w:r>
          </w:p>
        </w:tc>
        <w:tc>
          <w:tcPr>
            <w:tcW w:w="1881" w:type="pct"/>
            <w:vMerge w:val="restart"/>
            <w:shd w:val="clear" w:color="000000" w:fill="6B0021"/>
            <w:vAlign w:val="center"/>
            <w:hideMark/>
          </w:tcPr>
          <w:p w14:paraId="4BE85E27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Descripción Necesidad</w:t>
            </w:r>
          </w:p>
        </w:tc>
        <w:tc>
          <w:tcPr>
            <w:tcW w:w="936" w:type="pct"/>
            <w:vMerge w:val="restart"/>
            <w:shd w:val="clear" w:color="000000" w:fill="6B0021"/>
            <w:vAlign w:val="center"/>
            <w:hideMark/>
          </w:tcPr>
          <w:p w14:paraId="2C70EE0A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PRECIO UNITARIO DE REFERENCIA INCLUIDO IVA (CUANDO APLIQUE) Redondeado a cero decimales</w:t>
            </w:r>
          </w:p>
        </w:tc>
        <w:tc>
          <w:tcPr>
            <w:tcW w:w="1747" w:type="pct"/>
            <w:gridSpan w:val="3"/>
            <w:shd w:val="clear" w:color="000000" w:fill="F1A983"/>
            <w:vAlign w:val="center"/>
            <w:hideMark/>
          </w:tcPr>
          <w:p w14:paraId="0368B061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000000"/>
                <w:sz w:val="12"/>
                <w:szCs w:val="12"/>
                <w:lang w:val="es-CO" w:eastAsia="es-CO"/>
              </w:rPr>
              <w:t>CASILLAS PARA DILIGENCIAR POR PARTE DEL PROPONENTE SIN SOBREPAAR LOS PRECIOS DE REFERENCIA SO PENA DE CAUSAL DE RECHAZO</w:t>
            </w:r>
          </w:p>
        </w:tc>
      </w:tr>
      <w:tr w:rsidR="009344AC" w:rsidRPr="002F68DD" w14:paraId="4B7BD16C" w14:textId="77777777" w:rsidTr="00001C11">
        <w:trPr>
          <w:trHeight w:val="20"/>
        </w:trPr>
        <w:tc>
          <w:tcPr>
            <w:tcW w:w="437" w:type="pct"/>
            <w:vMerge/>
            <w:vAlign w:val="center"/>
            <w:hideMark/>
          </w:tcPr>
          <w:p w14:paraId="486D1F41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</w:p>
        </w:tc>
        <w:tc>
          <w:tcPr>
            <w:tcW w:w="1881" w:type="pct"/>
            <w:vMerge/>
            <w:vAlign w:val="center"/>
            <w:hideMark/>
          </w:tcPr>
          <w:p w14:paraId="1D54CCD1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</w:p>
        </w:tc>
        <w:tc>
          <w:tcPr>
            <w:tcW w:w="936" w:type="pct"/>
            <w:vMerge/>
            <w:vAlign w:val="center"/>
            <w:hideMark/>
          </w:tcPr>
          <w:p w14:paraId="59423D59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</w:p>
        </w:tc>
        <w:tc>
          <w:tcPr>
            <w:tcW w:w="535" w:type="pct"/>
            <w:shd w:val="clear" w:color="000000" w:fill="6B0021"/>
            <w:vAlign w:val="center"/>
            <w:hideMark/>
          </w:tcPr>
          <w:p w14:paraId="5D386DDA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VALOR UNITARIO  OFERTADO ANTES DE IVA (CUANDO APLIQUE)</w:t>
            </w:r>
          </w:p>
        </w:tc>
        <w:tc>
          <w:tcPr>
            <w:tcW w:w="597" w:type="pct"/>
            <w:shd w:val="clear" w:color="000000" w:fill="6B0021"/>
            <w:vAlign w:val="center"/>
            <w:hideMark/>
          </w:tcPr>
          <w:p w14:paraId="58DB1AF6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IVA (CUANDO APLIQUE)</w:t>
            </w:r>
          </w:p>
        </w:tc>
        <w:tc>
          <w:tcPr>
            <w:tcW w:w="615" w:type="pct"/>
            <w:shd w:val="clear" w:color="000000" w:fill="6B0021"/>
            <w:vAlign w:val="center"/>
            <w:hideMark/>
          </w:tcPr>
          <w:p w14:paraId="68A6363E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VALOR UNITARIO TOTAL OFERTADO INCUIDO IVA (CUANDO APLIQUE)</w:t>
            </w:r>
          </w:p>
        </w:tc>
      </w:tr>
      <w:tr w:rsidR="009344AC" w:rsidRPr="002F68DD" w14:paraId="622AF4EA" w14:textId="77777777" w:rsidTr="00001C11">
        <w:trPr>
          <w:trHeight w:val="20"/>
        </w:trPr>
        <w:tc>
          <w:tcPr>
            <w:tcW w:w="5000" w:type="pct"/>
            <w:gridSpan w:val="6"/>
            <w:shd w:val="clear" w:color="000000" w:fill="F1A983"/>
            <w:hideMark/>
          </w:tcPr>
          <w:p w14:paraId="681E0176" w14:textId="77777777" w:rsidR="009344AC" w:rsidRPr="002F68DD" w:rsidRDefault="009344AC" w:rsidP="009344A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  <w:t>ESTUDIO 1 - Evaluar el impacto del subsidio familiar de las Cajas de Compensación Familiar (CCF) en la reducción de la pobreza en Colombia (2015–2025) bajo un enfoque dual: por un lado, se analiza la pobreza monetaria mediante la incidencia de la cuota monetaria en el ingreso disponible del hogar; por otro, se mide la pobreza multidimensional (IPM) a través de la ejecución de fondos específicos en tres dimensiones clave: FOVIS (Vivienda y servicios públicos), FOSFEC (Trabajo) y FONIÑEZ (Niñez y juventud). Este análisis permitirá determinar cómo estas transferencias y servicios mitigan privaciones específicas en las diferentes categorías de afiliados y sus familias.</w:t>
            </w:r>
          </w:p>
        </w:tc>
      </w:tr>
      <w:tr w:rsidR="009344AC" w:rsidRPr="002F68DD" w14:paraId="04924FDA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2502A82D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1</w:t>
            </w:r>
          </w:p>
        </w:tc>
        <w:tc>
          <w:tcPr>
            <w:tcW w:w="1881" w:type="pct"/>
            <w:vAlign w:val="center"/>
            <w:hideMark/>
          </w:tcPr>
          <w:p w14:paraId="71FA80CA" w14:textId="666996A6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documento con Marco Conceptual, Teórico, Metodológico y el Cronograma del Estudio</w:t>
            </w:r>
          </w:p>
        </w:tc>
        <w:tc>
          <w:tcPr>
            <w:tcW w:w="936" w:type="pct"/>
            <w:vAlign w:val="center"/>
            <w:hideMark/>
          </w:tcPr>
          <w:p w14:paraId="322BB94C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29.414.331,00 </w:t>
            </w:r>
          </w:p>
        </w:tc>
        <w:tc>
          <w:tcPr>
            <w:tcW w:w="535" w:type="pct"/>
            <w:noWrap/>
            <w:vAlign w:val="bottom"/>
            <w:hideMark/>
          </w:tcPr>
          <w:p w14:paraId="52707273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EE37773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376A502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1FF1F39E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7C0E0395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2</w:t>
            </w:r>
          </w:p>
        </w:tc>
        <w:tc>
          <w:tcPr>
            <w:tcW w:w="1881" w:type="pct"/>
            <w:vAlign w:val="center"/>
            <w:hideMark/>
          </w:tcPr>
          <w:p w14:paraId="40AC5D78" w14:textId="5D969518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documento que contenga un diagnóstico exhaustivo de la estructura, flujo y lógica de asignación de los fondos del Sistema (FOVIS, FOSFEC/SPE, FONIÑEZ y cuota monetaria), levantando un análisis normativo-operativo que detalle: (i) competencias de la SSF (inspección, vigilancia y control); (ii) reglas de financiación, certificaciones anuales y destinos obligatorios por departamento; (iii) procesos operativos de las CCF por línea de servicio (vivienda, empleo, niñez/juventud); y (iv) la gobernanza de datos (quién produce, periodicidad y metadatos). Este diagnóstico es un insumo para estimar impactos.</w:t>
            </w:r>
          </w:p>
        </w:tc>
        <w:tc>
          <w:tcPr>
            <w:tcW w:w="936" w:type="pct"/>
            <w:vAlign w:val="center"/>
            <w:hideMark/>
          </w:tcPr>
          <w:p w14:paraId="2F8AA5A1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47.264.331,00 </w:t>
            </w:r>
          </w:p>
        </w:tc>
        <w:tc>
          <w:tcPr>
            <w:tcW w:w="535" w:type="pct"/>
            <w:noWrap/>
            <w:vAlign w:val="bottom"/>
            <w:hideMark/>
          </w:tcPr>
          <w:p w14:paraId="7500CD94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ADB9A88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15C41F50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4D006ACC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201BA6AD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3</w:t>
            </w:r>
          </w:p>
        </w:tc>
        <w:tc>
          <w:tcPr>
            <w:tcW w:w="1881" w:type="pct"/>
            <w:vAlign w:val="center"/>
            <w:hideMark/>
          </w:tcPr>
          <w:p w14:paraId="5FD6101D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Un (1) documento que contenga el diseño y validación de los instrumentos técnicos (matrices de extracción y encuestas) para medir el impacto de la cuota monetaria. Incluir los protocolos de recolección de datos longitudinales (2015–2025), la definición de variables para grupos de tratamiento y control, y el  Informe de Resultados de la Prueba Piloto que valide la claridad, consistencia y calidad de las herramientas en campo. Asimismo, integrará el plan operativo y de control de calidad que garantice la 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lastRenderedPageBreak/>
              <w:t>trazabilidad de la información necesaria para el análisis de bienestar de los afiliados y sus familias.</w:t>
            </w:r>
          </w:p>
        </w:tc>
        <w:tc>
          <w:tcPr>
            <w:tcW w:w="936" w:type="pct"/>
            <w:vAlign w:val="center"/>
            <w:hideMark/>
          </w:tcPr>
          <w:p w14:paraId="32351D80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lastRenderedPageBreak/>
              <w:t xml:space="preserve">             42.800.000,00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3AB97FB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796606AA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5A1AB0E0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2E5A21ED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240E03C1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4</w:t>
            </w:r>
          </w:p>
        </w:tc>
        <w:tc>
          <w:tcPr>
            <w:tcW w:w="1881" w:type="pct"/>
            <w:vAlign w:val="center"/>
            <w:hideMark/>
          </w:tcPr>
          <w:p w14:paraId="48B2CF51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repositorio técnico que consolide las bases de datos cuantitativas y cualitativas (2015-2025) bajo estrictos protocolos de seguridad. Incluye el análisis descriptivo y exploratorio de la información, diccionarios de variables, ponderadores y la documentación técnica necesaria para garantizar la trazabilidad, replicabilidad y reserva de los datos de los afiliados.</w:t>
            </w:r>
          </w:p>
        </w:tc>
        <w:tc>
          <w:tcPr>
            <w:tcW w:w="936" w:type="pct"/>
            <w:vAlign w:val="center"/>
            <w:hideMark/>
          </w:tcPr>
          <w:p w14:paraId="0EC825DA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34.850.000,00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2F60E45A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3252777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3367C0BF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35F791F3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52D43FF6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5</w:t>
            </w:r>
          </w:p>
        </w:tc>
        <w:tc>
          <w:tcPr>
            <w:tcW w:w="1881" w:type="pct"/>
            <w:vAlign w:val="center"/>
            <w:hideMark/>
          </w:tcPr>
          <w:p w14:paraId="33A6A96B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documento que contenga la estimación del impacto global y heterogéneo del subsidio familiar (2015–2025) sobre la pobreza monetaria (vía cuota monetaria) y la pobreza multidimensional en las dimensiones de vivienda, trabajo y niñez (FOVIS, FOSFEC y FONIÑEZ). El informe detalla los resultados econométricos por regiones y categorías de afiliados, justificando la validez de los modelos y la conexión causal con el bienestar del hogar. Finalmente, presenta recomendaciones estratégicas priorizadas para la Inspección, Vigilancia y Control (IVC), traduciendo los hallazgos en estándares mínimos y rutas de mejora para el cierre de brechas en las 42 Cajas de Compensación.</w:t>
            </w:r>
          </w:p>
        </w:tc>
        <w:tc>
          <w:tcPr>
            <w:tcW w:w="936" w:type="pct"/>
            <w:vAlign w:val="center"/>
            <w:hideMark/>
          </w:tcPr>
          <w:p w14:paraId="1BBE3AAD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48.990.000,00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6BDDB94A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41A3FCC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6E0E4EF2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20715E17" w14:textId="77777777" w:rsidTr="00001C11">
        <w:trPr>
          <w:trHeight w:val="20"/>
        </w:trPr>
        <w:tc>
          <w:tcPr>
            <w:tcW w:w="5000" w:type="pct"/>
            <w:gridSpan w:val="6"/>
            <w:shd w:val="clear" w:color="000000" w:fill="F1A983"/>
            <w:vAlign w:val="center"/>
            <w:hideMark/>
          </w:tcPr>
          <w:p w14:paraId="75A6F0D0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  <w:t>ESTUDIO 2 - Evaluar los niveles de satisfacción, la percepción de calidad y las dinámicas de uso de los servicios del Sistema de Subsidio Familiar, con el fin de identificar oportunidades de mejora en la experiencia del afiliado y optimizar la efectividad operativa de las Cajas de Compensación.</w:t>
            </w:r>
          </w:p>
        </w:tc>
      </w:tr>
      <w:tr w:rsidR="009344AC" w:rsidRPr="002F68DD" w14:paraId="519DA169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38335C04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6</w:t>
            </w:r>
          </w:p>
        </w:tc>
        <w:tc>
          <w:tcPr>
            <w:tcW w:w="1881" w:type="pct"/>
            <w:vAlign w:val="center"/>
            <w:hideMark/>
          </w:tcPr>
          <w:p w14:paraId="255DE01E" w14:textId="4F104CED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Un (1) documento con Marco Conceptual, Teórico,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Metodológico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y el Cronograma del Estudio </w:t>
            </w:r>
          </w:p>
        </w:tc>
        <w:tc>
          <w:tcPr>
            <w:tcW w:w="936" w:type="pct"/>
            <w:vAlign w:val="center"/>
            <w:hideMark/>
          </w:tcPr>
          <w:p w14:paraId="1D6BB07F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24.895.344,00 </w:t>
            </w:r>
          </w:p>
        </w:tc>
        <w:tc>
          <w:tcPr>
            <w:tcW w:w="535" w:type="pct"/>
            <w:noWrap/>
            <w:vAlign w:val="bottom"/>
            <w:hideMark/>
          </w:tcPr>
          <w:p w14:paraId="475ECA8F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1A8DA24C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469808FD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5D6C4CC4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27460845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7</w:t>
            </w:r>
          </w:p>
        </w:tc>
        <w:tc>
          <w:tcPr>
            <w:tcW w:w="1881" w:type="pct"/>
            <w:vAlign w:val="center"/>
            <w:hideMark/>
          </w:tcPr>
          <w:p w14:paraId="44B811B6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documento técnico que caracterice y modele la arquitectura de los servicios del Sistema mediante diagramas de flujo. El análisis incluye el mapeo de procesos y la evaluación del estado actual para identificar cuellos de botella y oportunidades de mejora en la satisfacción, la calidad y las dinámicas de uso de los servicios de las CCF. Este diagnóstico permite estandarizar la secuencia lógica de valor para los afiliados y sus familias, optimizando la operatividad de las Cajas y definiendo los parámetros técnicos para el diseño de los instrumentos de evaluación</w:t>
            </w:r>
          </w:p>
        </w:tc>
        <w:tc>
          <w:tcPr>
            <w:tcW w:w="936" w:type="pct"/>
            <w:vAlign w:val="center"/>
            <w:hideMark/>
          </w:tcPr>
          <w:p w14:paraId="648C5A5E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41.668.015,00 </w:t>
            </w:r>
          </w:p>
        </w:tc>
        <w:tc>
          <w:tcPr>
            <w:tcW w:w="535" w:type="pct"/>
            <w:noWrap/>
            <w:vAlign w:val="bottom"/>
            <w:hideMark/>
          </w:tcPr>
          <w:p w14:paraId="7773AD86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2BD4E4A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215538AF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3BEF7BF0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1EC9E814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8</w:t>
            </w:r>
          </w:p>
        </w:tc>
        <w:tc>
          <w:tcPr>
            <w:tcW w:w="1881" w:type="pct"/>
            <w:vAlign w:val="center"/>
            <w:hideMark/>
          </w:tcPr>
          <w:p w14:paraId="42D8F7D2" w14:textId="3D53FC24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Un (1) documento técnico que define la arquitectura de recolección de información para medir la satisfacción, la calidad y las dinámicas de uso de los servicios. El producto integra el diseño muestral representativo, la validación de instrumentos cuantitativos y cualitativos y el Informe de la Prueba Piloto con su respectivo análisis de consistencia,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además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de la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organización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y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Logistica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de campo (Cronogramas, hojas de ruta,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zonificación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y recursos humanos a emplear), con el cual la firma realizara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recolección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de la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información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con sus respetivos protocolos de calidad,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supervisión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, control, plan de procesamiento e informe preliminar con </w:t>
            </w:r>
            <w:r w:rsidR="00001C11"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validación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de expertos.</w:t>
            </w:r>
          </w:p>
        </w:tc>
        <w:tc>
          <w:tcPr>
            <w:tcW w:w="936" w:type="pct"/>
            <w:vAlign w:val="center"/>
            <w:hideMark/>
          </w:tcPr>
          <w:p w14:paraId="18A801BE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39.610.000,00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00579052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A485967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049AA66E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7DB25C7F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6D7285F2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9</w:t>
            </w:r>
          </w:p>
        </w:tc>
        <w:tc>
          <w:tcPr>
            <w:tcW w:w="1881" w:type="pct"/>
            <w:vAlign w:val="center"/>
            <w:hideMark/>
          </w:tcPr>
          <w:p w14:paraId="5D8973FF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repositorio estandarizado que consolida las bases de datos cuantitativas y cualitativas (crudas y procesadas), integrando un análisis descriptivo inicial que interpreta los hallazgos fundamentales. El producto garantiza la replicabilidad mediante metadatos y fichas técnicas que aseguran la trazabilidad de la información. Este activo constituye el soporte empírico para evaluar la satisfacción, calidad y dinámicas de uso de los servicios, cumpliendo con los estándares de seguridad y reserva de información del Sistema.</w:t>
            </w:r>
          </w:p>
        </w:tc>
        <w:tc>
          <w:tcPr>
            <w:tcW w:w="936" w:type="pct"/>
            <w:vAlign w:val="center"/>
            <w:hideMark/>
          </w:tcPr>
          <w:p w14:paraId="7D33EACE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30.660.000,00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4BC3D3A0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29A8575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6CFE954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6B6146CA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3E9376E3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10</w:t>
            </w:r>
          </w:p>
        </w:tc>
        <w:tc>
          <w:tcPr>
            <w:tcW w:w="1881" w:type="pct"/>
            <w:vAlign w:val="center"/>
            <w:hideMark/>
          </w:tcPr>
          <w:p w14:paraId="3A44BAF5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Un (1) documento final que integra el análisis profundo de la satisfacción, la percepción de calidad y las dinámicas de uso (frecuencia, canales y acceso) de los servicios. El informe correlaciona los hallazgos con la calidad de vida de los afiliados y sus familias mediante indicadores clave (KPIs) y análisis estadísticos segmentados por región y categoría. A partir de la evidencia empírica, que identifica </w:t>
            </w: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lastRenderedPageBreak/>
              <w:t>brechas, fortalezas y oportunidades de mejora, concluyendo con una hoja de ruta de acciones estratégicas y lecciones aprendidas</w:t>
            </w:r>
          </w:p>
        </w:tc>
        <w:tc>
          <w:tcPr>
            <w:tcW w:w="936" w:type="pct"/>
            <w:vAlign w:val="center"/>
            <w:hideMark/>
          </w:tcPr>
          <w:p w14:paraId="79C51055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lastRenderedPageBreak/>
              <w:t xml:space="preserve">             35.850.000,00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18108A16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4D8E358C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63A9279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3C36608F" w14:textId="77777777" w:rsidTr="00001C11">
        <w:trPr>
          <w:trHeight w:val="20"/>
        </w:trPr>
        <w:tc>
          <w:tcPr>
            <w:tcW w:w="5000" w:type="pct"/>
            <w:gridSpan w:val="6"/>
            <w:shd w:val="clear" w:color="000000" w:fill="F1A983"/>
            <w:vAlign w:val="center"/>
            <w:hideMark/>
          </w:tcPr>
          <w:p w14:paraId="0DE5994A" w14:textId="77777777" w:rsidR="009344AC" w:rsidRPr="002F68DD" w:rsidRDefault="009344AC" w:rsidP="00001C1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sz w:val="12"/>
                <w:szCs w:val="12"/>
                <w:lang w:val="es-CO" w:eastAsia="es-CO"/>
              </w:rPr>
              <w:t>SOCIALIZACIÓN DE RESULTADOS ESTUDIOS ( 1 Y 2 )</w:t>
            </w:r>
          </w:p>
        </w:tc>
      </w:tr>
      <w:tr w:rsidR="009344AC" w:rsidRPr="002F68DD" w14:paraId="2CCE32B9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0D231C07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10.1</w:t>
            </w:r>
          </w:p>
        </w:tc>
        <w:tc>
          <w:tcPr>
            <w:tcW w:w="1881" w:type="pct"/>
            <w:vAlign w:val="center"/>
            <w:hideMark/>
          </w:tcPr>
          <w:p w14:paraId="16F6F65D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Una (1) sesión presencial de alta gerencia para la presentación estratégica de los hallazgos de impacto y recomendaciones de política pública, garantizando el espacio físico y técnico para el Comité Directivo (20 asistentes)</w:t>
            </w:r>
          </w:p>
        </w:tc>
        <w:tc>
          <w:tcPr>
            <w:tcW w:w="936" w:type="pct"/>
            <w:vAlign w:val="center"/>
            <w:hideMark/>
          </w:tcPr>
          <w:p w14:paraId="1B55FBA5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13.449.999,00 </w:t>
            </w:r>
          </w:p>
        </w:tc>
        <w:tc>
          <w:tcPr>
            <w:tcW w:w="535" w:type="pct"/>
            <w:noWrap/>
            <w:vAlign w:val="bottom"/>
            <w:hideMark/>
          </w:tcPr>
          <w:p w14:paraId="4CA3A2B6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3CA5FBAE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46B51AB3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61942316" w14:textId="77777777" w:rsidTr="00001C11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7D7CBA0C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10.2</w:t>
            </w:r>
          </w:p>
        </w:tc>
        <w:tc>
          <w:tcPr>
            <w:tcW w:w="1881" w:type="pct"/>
            <w:vAlign w:val="center"/>
            <w:hideMark/>
          </w:tcPr>
          <w:p w14:paraId="34FA4C35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Una (1) jornada de socialización nacional y validación sectorial de los resultados del estudio, realizada de manera presencial con la participación de las Delegadas de la SSF, las 42 Cajas de Compensación Familiar, Asocajas y Fedecajas. El evento incluirá la gestión logística, técnica y el espacio físico con capacidad para 100 personas, orientado a la transferencia de conocimiento y el diálogo estratégico sobre las recomendaciones para el fortalecimiento del Sistema de Subsidio Familiar</w:t>
            </w:r>
          </w:p>
        </w:tc>
        <w:tc>
          <w:tcPr>
            <w:tcW w:w="936" w:type="pct"/>
            <w:vAlign w:val="center"/>
            <w:hideMark/>
          </w:tcPr>
          <w:p w14:paraId="014A4BD3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 xml:space="preserve">             23.415.000,00 </w:t>
            </w:r>
          </w:p>
        </w:tc>
        <w:tc>
          <w:tcPr>
            <w:tcW w:w="535" w:type="pct"/>
            <w:noWrap/>
            <w:vAlign w:val="bottom"/>
            <w:hideMark/>
          </w:tcPr>
          <w:p w14:paraId="1A4B8478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5E25A684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657200C3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7B8EA60A" w14:textId="77777777" w:rsidTr="00F973A2">
        <w:trPr>
          <w:trHeight w:val="20"/>
        </w:trPr>
        <w:tc>
          <w:tcPr>
            <w:tcW w:w="437" w:type="pct"/>
            <w:noWrap/>
            <w:vAlign w:val="center"/>
            <w:hideMark/>
          </w:tcPr>
          <w:p w14:paraId="0B12F290" w14:textId="77777777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10.3</w:t>
            </w:r>
          </w:p>
        </w:tc>
        <w:tc>
          <w:tcPr>
            <w:tcW w:w="1881" w:type="pct"/>
            <w:vAlign w:val="center"/>
            <w:hideMark/>
          </w:tcPr>
          <w:p w14:paraId="70F0438B" w14:textId="77777777" w:rsidR="009344AC" w:rsidRPr="002F68DD" w:rsidRDefault="009344AC" w:rsidP="00001C11">
            <w:pPr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Un (1) documento publicable en medio magnético y físico del estudio realizado</w:t>
            </w:r>
          </w:p>
        </w:tc>
        <w:tc>
          <w:tcPr>
            <w:tcW w:w="936" w:type="pct"/>
            <w:vAlign w:val="center"/>
            <w:hideMark/>
          </w:tcPr>
          <w:p w14:paraId="4C5C2567" w14:textId="228BA8CC" w:rsidR="009344AC" w:rsidRPr="002F68DD" w:rsidRDefault="009344AC" w:rsidP="00F973A2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8.330.000,00</w:t>
            </w:r>
          </w:p>
        </w:tc>
        <w:tc>
          <w:tcPr>
            <w:tcW w:w="535" w:type="pct"/>
            <w:noWrap/>
            <w:vAlign w:val="center"/>
            <w:hideMark/>
          </w:tcPr>
          <w:p w14:paraId="0613CEA4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noWrap/>
            <w:vAlign w:val="bottom"/>
            <w:hideMark/>
          </w:tcPr>
          <w:p w14:paraId="40EB2479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noWrap/>
            <w:vAlign w:val="bottom"/>
            <w:hideMark/>
          </w:tcPr>
          <w:p w14:paraId="17E306F5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000000"/>
                <w:sz w:val="12"/>
                <w:szCs w:val="12"/>
                <w:lang w:val="es-CO" w:eastAsia="es-CO"/>
              </w:rPr>
              <w:t> </w:t>
            </w:r>
          </w:p>
        </w:tc>
      </w:tr>
      <w:tr w:rsidR="009344AC" w:rsidRPr="002F68DD" w14:paraId="60DA6F74" w14:textId="77777777" w:rsidTr="00001C11">
        <w:trPr>
          <w:trHeight w:val="20"/>
        </w:trPr>
        <w:tc>
          <w:tcPr>
            <w:tcW w:w="2317" w:type="pct"/>
            <w:gridSpan w:val="2"/>
            <w:shd w:val="clear" w:color="000000" w:fill="6B0021"/>
            <w:vAlign w:val="center"/>
            <w:hideMark/>
          </w:tcPr>
          <w:p w14:paraId="2A84C0F3" w14:textId="44A6FEA1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TOTAL, OFERTA</w:t>
            </w:r>
          </w:p>
        </w:tc>
        <w:tc>
          <w:tcPr>
            <w:tcW w:w="936" w:type="pct"/>
            <w:shd w:val="clear" w:color="000000" w:fill="6B0021"/>
            <w:vAlign w:val="center"/>
            <w:hideMark/>
          </w:tcPr>
          <w:p w14:paraId="41EAF2BC" w14:textId="1F053D46" w:rsidR="009344AC" w:rsidRPr="002F68DD" w:rsidRDefault="009344AC" w:rsidP="009344A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b/>
                <w:bCs/>
                <w:color w:val="FFFFFF"/>
                <w:sz w:val="12"/>
                <w:szCs w:val="12"/>
                <w:lang w:val="es-CO" w:eastAsia="es-CO"/>
              </w:rPr>
              <w:t>421.197.020,00</w:t>
            </w:r>
          </w:p>
        </w:tc>
        <w:tc>
          <w:tcPr>
            <w:tcW w:w="535" w:type="pct"/>
            <w:shd w:val="clear" w:color="000000" w:fill="6B0021"/>
            <w:noWrap/>
            <w:vAlign w:val="bottom"/>
            <w:hideMark/>
          </w:tcPr>
          <w:p w14:paraId="6D6EE292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597" w:type="pct"/>
            <w:shd w:val="clear" w:color="000000" w:fill="6B0021"/>
            <w:noWrap/>
            <w:vAlign w:val="bottom"/>
            <w:hideMark/>
          </w:tcPr>
          <w:p w14:paraId="51F6F7CB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  <w:t> </w:t>
            </w:r>
          </w:p>
        </w:tc>
        <w:tc>
          <w:tcPr>
            <w:tcW w:w="615" w:type="pct"/>
            <w:shd w:val="clear" w:color="000000" w:fill="6B0021"/>
            <w:noWrap/>
            <w:vAlign w:val="bottom"/>
            <w:hideMark/>
          </w:tcPr>
          <w:p w14:paraId="0A8D1139" w14:textId="77777777" w:rsidR="009344AC" w:rsidRPr="002F68DD" w:rsidRDefault="009344AC" w:rsidP="009344AC">
            <w:pPr>
              <w:spacing w:after="0" w:line="240" w:lineRule="auto"/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</w:pPr>
            <w:r w:rsidRPr="002F68DD">
              <w:rPr>
                <w:rFonts w:ascii="Verdana" w:eastAsia="Times New Roman" w:hAnsi="Verdana"/>
                <w:color w:val="FFFFFF"/>
                <w:sz w:val="12"/>
                <w:szCs w:val="12"/>
                <w:lang w:val="es-CO" w:eastAsia="es-CO"/>
              </w:rPr>
              <w:t> </w:t>
            </w:r>
          </w:p>
        </w:tc>
      </w:tr>
    </w:tbl>
    <w:p w14:paraId="038C7F6E" w14:textId="77777777" w:rsidR="00A006D8" w:rsidRDefault="00A006D8" w:rsidP="2E2EEE29">
      <w:pPr>
        <w:spacing w:after="0" w:line="240" w:lineRule="auto"/>
        <w:jc w:val="both"/>
        <w:rPr>
          <w:rFonts w:ascii="Arial" w:hAnsi="Arial" w:cs="Arial"/>
        </w:rPr>
      </w:pPr>
    </w:p>
    <w:p w14:paraId="264C1C7E" w14:textId="50712CBB" w:rsidR="002E26CA" w:rsidRPr="00630D2D" w:rsidRDefault="002E26CA" w:rsidP="001354F7">
      <w:pPr>
        <w:spacing w:after="0" w:line="240" w:lineRule="auto"/>
        <w:jc w:val="both"/>
        <w:rPr>
          <w:rFonts w:ascii="Verdana" w:hAnsi="Verdana" w:cs="Arial"/>
          <w:b/>
          <w:bCs/>
          <w:i/>
          <w:iCs/>
          <w:u w:val="single"/>
        </w:rPr>
      </w:pPr>
      <w:r w:rsidRPr="002E26CA">
        <w:rPr>
          <w:rFonts w:ascii="Verdana" w:hAnsi="Verdana" w:cs="Arial"/>
          <w:b/>
          <w:bCs/>
        </w:rPr>
        <w:t>Nota:</w:t>
      </w:r>
      <w:r w:rsidRPr="002E26CA">
        <w:rPr>
          <w:rFonts w:ascii="Verdana" w:hAnsi="Verdana" w:cs="Arial"/>
        </w:rPr>
        <w:t xml:space="preserve"> El proponente no podrá superar los valores relacionados en la tabla anterior, dado que son los valores techo por ítem.</w:t>
      </w:r>
      <w:r w:rsidR="00630D2D">
        <w:rPr>
          <w:rFonts w:ascii="Verdana" w:hAnsi="Verdana" w:cs="Arial"/>
        </w:rPr>
        <w:t xml:space="preserve"> </w:t>
      </w:r>
      <w:r w:rsidR="00630D2D" w:rsidRPr="00630D2D">
        <w:rPr>
          <w:rFonts w:ascii="Verdana" w:hAnsi="Verdana" w:cs="Arial"/>
          <w:b/>
          <w:bCs/>
          <w:i/>
          <w:iCs/>
          <w:u w:val="single"/>
        </w:rPr>
        <w:t xml:space="preserve">SE DEBEN DILIGENCIAR TODAS LAS CASILLAS </w:t>
      </w:r>
    </w:p>
    <w:p w14:paraId="50EDCB83" w14:textId="77777777" w:rsidR="002E26CA" w:rsidRPr="002E26CA" w:rsidRDefault="002E26CA" w:rsidP="001354F7">
      <w:pPr>
        <w:spacing w:after="0" w:line="240" w:lineRule="auto"/>
        <w:jc w:val="both"/>
        <w:rPr>
          <w:rFonts w:ascii="Verdana" w:hAnsi="Verdana" w:cs="Arial"/>
        </w:rPr>
      </w:pPr>
    </w:p>
    <w:p w14:paraId="4DA55434" w14:textId="77777777" w:rsidR="002E26CA" w:rsidRPr="002E26CA" w:rsidRDefault="002E26CA" w:rsidP="001354F7">
      <w:pPr>
        <w:pStyle w:val="Default"/>
        <w:jc w:val="both"/>
        <w:rPr>
          <w:rFonts w:ascii="Verdana" w:eastAsia="Calibri" w:hAnsi="Verdana" w:cs="Arial"/>
          <w:color w:val="auto"/>
          <w:kern w:val="0"/>
          <w:sz w:val="22"/>
          <w:szCs w:val="22"/>
          <w:lang w:eastAsia="es-CO"/>
        </w:rPr>
      </w:pPr>
      <w:r w:rsidRPr="002E26CA">
        <w:rPr>
          <w:rFonts w:ascii="Verdana" w:eastAsia="Calibri" w:hAnsi="Verdana" w:cs="Arial"/>
          <w:color w:val="auto"/>
          <w:kern w:val="0"/>
          <w:sz w:val="22"/>
          <w:szCs w:val="22"/>
          <w:lang w:eastAsia="es-CO"/>
        </w:rPr>
        <w:t>La oferta económica debe cumplir con los siguientes requisitos:</w:t>
      </w:r>
    </w:p>
    <w:p w14:paraId="5A9C3325" w14:textId="77777777" w:rsidR="002E26CA" w:rsidRPr="002E26CA" w:rsidRDefault="002E26CA" w:rsidP="001354F7">
      <w:pPr>
        <w:widowControl w:val="0"/>
        <w:spacing w:after="0" w:line="240" w:lineRule="atLeast"/>
        <w:contextualSpacing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 </w:t>
      </w:r>
    </w:p>
    <w:p w14:paraId="3562EDA1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a. La oferta debe presentarse en moneda legal colombiana. </w:t>
      </w:r>
    </w:p>
    <w:p w14:paraId="2F431580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b. El proponente deberá ofertar la totalidad del servicio y/o bienes. </w:t>
      </w:r>
    </w:p>
    <w:p w14:paraId="3B9CAB70" w14:textId="77777777" w:rsidR="002E26CA" w:rsidRPr="002E26CA" w:rsidRDefault="002E26CA" w:rsidP="001354F7">
      <w:pPr>
        <w:tabs>
          <w:tab w:val="left" w:pos="8669"/>
        </w:tabs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c. El valor debe incluir la totalidad de los costos directos o indirectos que genere la prestación del servicio y demás inherentes a la ejecución del contrato y por ningún motivo se considerarán costos adicionales. </w:t>
      </w:r>
    </w:p>
    <w:p w14:paraId="0469BCA9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>d. En caso de no discriminar todos los costos directos e indirectos, o no expresar que estos se encuentran incluidos en el valor de la propuesta, los mismos se entenderán comprendidos en dicho valor.</w:t>
      </w:r>
    </w:p>
    <w:p w14:paraId="6777521E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e. Se deberá incluir el valor unitario de la oferta, incluyendo el valor del IVA u otras tasas e impuestos aplicables. </w:t>
      </w:r>
    </w:p>
    <w:p w14:paraId="679647FA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f. Por ningún motivo se reconocerá reajuste del precio durante la vigencia del contrato. </w:t>
      </w:r>
    </w:p>
    <w:p w14:paraId="0B541E10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g. El proponente debe proyectar el valor de la oferta por el tiempo de ejecución del contrato respectivo de forma responsable y previendo la totalidad de factores que integran los costos y gastos de la ejecución del contrato. </w:t>
      </w:r>
    </w:p>
    <w:p w14:paraId="3511EFEE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h. Serán de la exclusiva responsabilidad del proponente, los errores u omisiones en que incurra al indicar los costos y valores totales en su propuesta debiendo asumir los mayores costos o pérdidas que se deriven de dichos errores u omisiones. </w:t>
      </w:r>
    </w:p>
    <w:p w14:paraId="0C2E4612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i. En caso de existir discrepancias entre los valores unitarios, el subtotal de la propuesta, o el valor total de la oferta, LA SUPERTINTENDENCIA tomará como </w:t>
      </w:r>
      <w:r w:rsidRPr="002E26CA">
        <w:rPr>
          <w:rFonts w:ascii="Verdana" w:hAnsi="Verdana" w:cs="Arial"/>
          <w:lang w:eastAsia="es-CO"/>
        </w:rPr>
        <w:lastRenderedPageBreak/>
        <w:t xml:space="preserve">valor correcto para la evaluación de las propuestas, los valores unitarios para efectuar las operaciones aritméticas que correspondan, sin que esta corrección pueda considerarse modificación de la propuesta. </w:t>
      </w:r>
    </w:p>
    <w:p w14:paraId="6642D463" w14:textId="77777777" w:rsidR="002E26CA" w:rsidRPr="002E26CA" w:rsidRDefault="002E26CA" w:rsidP="001354F7">
      <w:pPr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j. Son de cargo del adjudicatario el pago de los derechos, impuestos, tasas y otros conceptos que genere el contrato. </w:t>
      </w:r>
    </w:p>
    <w:p w14:paraId="2CDACE7B" w14:textId="77777777" w:rsidR="002E26CA" w:rsidRPr="002E26CA" w:rsidRDefault="002E26CA" w:rsidP="001354F7">
      <w:pPr>
        <w:tabs>
          <w:tab w:val="left" w:pos="8669"/>
        </w:tabs>
        <w:autoSpaceDE w:val="0"/>
        <w:autoSpaceDN w:val="0"/>
        <w:adjustRightInd w:val="0"/>
        <w:spacing w:after="0" w:line="240" w:lineRule="auto"/>
        <w:ind w:right="109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 xml:space="preserve">k. De conformidad con lo preceptuado en el artículo 623 del Código de Comercio, en caso de encontrarse discrepancia entre las cifras en números y letras, prevalecerán las cifras en letras. </w:t>
      </w:r>
    </w:p>
    <w:p w14:paraId="61300977" w14:textId="77777777" w:rsidR="002E26CA" w:rsidRPr="002E26CA" w:rsidRDefault="002E26CA" w:rsidP="002E26CA">
      <w:pPr>
        <w:spacing w:after="0" w:line="240" w:lineRule="auto"/>
        <w:jc w:val="both"/>
        <w:rPr>
          <w:rFonts w:ascii="Verdana" w:hAnsi="Verdana" w:cs="Arial"/>
          <w:lang w:eastAsia="es-CO"/>
        </w:rPr>
      </w:pPr>
    </w:p>
    <w:p w14:paraId="0AE810B2" w14:textId="77777777" w:rsidR="002E26CA" w:rsidRPr="002E26CA" w:rsidRDefault="002E26CA" w:rsidP="002E26CA">
      <w:pPr>
        <w:spacing w:after="0" w:line="240" w:lineRule="auto"/>
        <w:jc w:val="both"/>
        <w:rPr>
          <w:rFonts w:ascii="Verdana" w:hAnsi="Verdana" w:cs="Arial"/>
          <w:lang w:eastAsia="es-CO"/>
        </w:rPr>
      </w:pPr>
      <w:r w:rsidRPr="002E26CA">
        <w:rPr>
          <w:rFonts w:ascii="Verdana" w:hAnsi="Verdana" w:cs="Arial"/>
          <w:lang w:eastAsia="es-CO"/>
        </w:rPr>
        <w:t>De igual manera, me comprometo como representante legal que en el evento de ser adjudicatario el personal ofertado cumplirá con la ejecución del contrato en los términos establecidos</w:t>
      </w:r>
    </w:p>
    <w:p w14:paraId="302B4386" w14:textId="77777777" w:rsidR="009C1B05" w:rsidRPr="002E26CA" w:rsidRDefault="009C1B05" w:rsidP="009C1B05">
      <w:pPr>
        <w:pStyle w:val="Default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749CD3C0" w14:textId="77777777" w:rsidR="009238AD" w:rsidRDefault="009238AD" w:rsidP="008829A4">
      <w:pPr>
        <w:spacing w:after="0" w:line="240" w:lineRule="auto"/>
        <w:jc w:val="both"/>
        <w:rPr>
          <w:rFonts w:ascii="Verdana" w:hAnsi="Verdana" w:cs="Arial"/>
        </w:rPr>
      </w:pPr>
    </w:p>
    <w:p w14:paraId="36325FB9" w14:textId="77777777" w:rsidR="002F68DD" w:rsidRPr="002E26CA" w:rsidRDefault="002F68DD" w:rsidP="008829A4">
      <w:pPr>
        <w:spacing w:after="0" w:line="240" w:lineRule="auto"/>
        <w:jc w:val="both"/>
        <w:rPr>
          <w:rFonts w:ascii="Verdana" w:hAnsi="Verdana" w:cs="Arial"/>
        </w:rPr>
      </w:pPr>
    </w:p>
    <w:p w14:paraId="09751BE1" w14:textId="482A4A7E" w:rsidR="008829A4" w:rsidRPr="002E26CA" w:rsidRDefault="008829A4" w:rsidP="008829A4">
      <w:pPr>
        <w:spacing w:after="0" w:line="240" w:lineRule="auto"/>
        <w:jc w:val="both"/>
        <w:rPr>
          <w:rFonts w:ascii="Verdana" w:hAnsi="Verdana" w:cs="Arial"/>
        </w:rPr>
      </w:pPr>
      <w:r w:rsidRPr="002E26CA">
        <w:rPr>
          <w:rFonts w:ascii="Verdana" w:hAnsi="Verdana" w:cs="Arial"/>
        </w:rPr>
        <w:t xml:space="preserve">_________________________ </w:t>
      </w:r>
    </w:p>
    <w:p w14:paraId="6CBB4D65" w14:textId="77777777" w:rsidR="008829A4" w:rsidRPr="002E26CA" w:rsidRDefault="008829A4" w:rsidP="008829A4">
      <w:pPr>
        <w:spacing w:after="0" w:line="240" w:lineRule="auto"/>
        <w:jc w:val="both"/>
        <w:rPr>
          <w:rFonts w:ascii="Verdana" w:hAnsi="Verdana" w:cs="Arial"/>
        </w:rPr>
      </w:pPr>
      <w:r w:rsidRPr="002E26CA">
        <w:rPr>
          <w:rFonts w:ascii="Verdana" w:hAnsi="Verdana" w:cs="Arial"/>
          <w:b/>
        </w:rPr>
        <w:t xml:space="preserve">PROPONENTE </w:t>
      </w:r>
    </w:p>
    <w:p w14:paraId="67200B95" w14:textId="6B684221" w:rsidR="00520977" w:rsidRPr="00553094" w:rsidRDefault="008829A4" w:rsidP="008829A4">
      <w:pPr>
        <w:spacing w:after="0" w:line="240" w:lineRule="auto"/>
        <w:jc w:val="both"/>
        <w:rPr>
          <w:rFonts w:ascii="Verdana" w:hAnsi="Verdana" w:cs="Arial"/>
          <w:b/>
        </w:rPr>
      </w:pPr>
      <w:r w:rsidRPr="002E26CA">
        <w:rPr>
          <w:rFonts w:ascii="Verdana" w:hAnsi="Verdana" w:cs="Arial"/>
          <w:b/>
        </w:rPr>
        <w:t xml:space="preserve">C.C. N° </w:t>
      </w:r>
    </w:p>
    <w:p w14:paraId="029760A1" w14:textId="77777777" w:rsidR="00630D2D" w:rsidRPr="009238AD" w:rsidRDefault="00630D2D" w:rsidP="008829A4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14:paraId="16FB4A54" w14:textId="77777777" w:rsidR="008829A4" w:rsidRPr="002F68DD" w:rsidRDefault="008829A4" w:rsidP="008829A4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  <w:u w:val="single"/>
        </w:rPr>
      </w:pPr>
      <w:r w:rsidRPr="002F68DD">
        <w:rPr>
          <w:rFonts w:ascii="Verdana" w:hAnsi="Verdana" w:cs="Arial"/>
          <w:b/>
          <w:bCs/>
          <w:sz w:val="20"/>
          <w:szCs w:val="20"/>
          <w:u w:val="single"/>
        </w:rPr>
        <w:t xml:space="preserve">Firmada por el proponente, o por el representante legal de la persona jurídica, del consorcio o de la unión temporal, según sea el caso. </w:t>
      </w:r>
    </w:p>
    <w:sectPr w:rsidR="008829A4" w:rsidRPr="002F68DD" w:rsidSect="00E15F7A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18" w:right="1701" w:bottom="1418" w:left="1701" w:header="709" w:footer="81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0224" w14:textId="77777777" w:rsidR="007D5029" w:rsidRDefault="007D5029" w:rsidP="008829A4">
      <w:pPr>
        <w:spacing w:after="0" w:line="240" w:lineRule="auto"/>
      </w:pPr>
      <w:r>
        <w:separator/>
      </w:r>
    </w:p>
  </w:endnote>
  <w:endnote w:type="continuationSeparator" w:id="0">
    <w:p w14:paraId="611DC5E2" w14:textId="77777777" w:rsidR="007D5029" w:rsidRDefault="007D5029" w:rsidP="0088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2035256973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6078276" w14:textId="77777777" w:rsidR="008A6F92" w:rsidRDefault="008A6F92" w:rsidP="004A539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924A21E" w14:textId="77777777" w:rsidR="008A6F92" w:rsidRDefault="008A6F92" w:rsidP="005907DF">
    <w:pPr>
      <w:pStyle w:val="Piedepgina"/>
      <w:ind w:right="360"/>
    </w:pPr>
  </w:p>
  <w:p w14:paraId="5D6C03AE" w14:textId="77777777" w:rsidR="008A6F92" w:rsidRDefault="008A6F92"/>
  <w:p w14:paraId="13D61F8D" w14:textId="77777777" w:rsidR="008A6F92" w:rsidRDefault="008A6F9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55A8" w14:textId="77777777" w:rsidR="009238AD" w:rsidRDefault="00051BC3" w:rsidP="009238AD">
    <w:pPr>
      <w:spacing w:after="0" w:line="240" w:lineRule="auto"/>
      <w:jc w:val="both"/>
    </w:pPr>
    <w:bookmarkStart w:id="0" w:name="_Hlk174622424"/>
    <w:r>
      <w:t xml:space="preserve">________________________________________________________________________________ </w:t>
    </w:r>
    <w:bookmarkStart w:id="1" w:name="_Hlk197250637"/>
    <w:bookmarkEnd w:id="0"/>
    <w:bookmarkEnd w:id="1"/>
  </w:p>
  <w:sdt>
    <w:sdtPr>
      <w:id w:val="-1071572585"/>
      <w:docPartObj>
        <w:docPartGallery w:val="Page Numbers (Bottom of Page)"/>
        <w:docPartUnique/>
      </w:docPartObj>
    </w:sdtPr>
    <w:sdtEndPr/>
    <w:sdtContent>
      <w:p w14:paraId="2F2AC508" w14:textId="77777777" w:rsidR="009238AD" w:rsidRPr="009238AD" w:rsidRDefault="009238AD" w:rsidP="009238AD">
        <w:pPr>
          <w:spacing w:after="0" w:line="240" w:lineRule="auto"/>
          <w:jc w:val="both"/>
        </w:pPr>
      </w:p>
      <w:p w14:paraId="16D583D3" w14:textId="77777777" w:rsidR="009238AD" w:rsidRPr="009238AD" w:rsidRDefault="009238AD" w:rsidP="009238AD">
        <w:pPr>
          <w:spacing w:after="0" w:line="240" w:lineRule="auto"/>
          <w:jc w:val="both"/>
          <w:rPr>
            <w:rFonts w:ascii="Verdana" w:hAnsi="Verdana"/>
            <w:b/>
            <w:bCs/>
          </w:rPr>
        </w:pPr>
        <w:r w:rsidRPr="009238AD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87457AF" wp14:editId="12548B80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0B086B" w14:textId="77777777" w:rsidR="009238AD" w:rsidRDefault="009238AD" w:rsidP="009238AD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7457AF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10B086B" w14:textId="77777777" w:rsidR="009238AD" w:rsidRDefault="009238AD" w:rsidP="009238AD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238AD">
          <w:rPr>
            <w:rFonts w:ascii="Verdana" w:hAnsi="Verdana"/>
            <w:b/>
            <w:bCs/>
          </w:rPr>
          <w:t>SuperSubsidio</w:t>
        </w:r>
      </w:p>
      <w:p w14:paraId="182EE6CF" w14:textId="77777777" w:rsidR="009238AD" w:rsidRPr="009238AD" w:rsidRDefault="009238AD" w:rsidP="009238AD">
        <w:pPr>
          <w:spacing w:after="0" w:line="240" w:lineRule="auto"/>
          <w:jc w:val="both"/>
          <w:rPr>
            <w:rFonts w:ascii="Verdana" w:hAnsi="Verdana"/>
            <w:shd w:val="clear" w:color="auto" w:fill="FFFFFF"/>
            <w:lang w:val="en-US"/>
          </w:rPr>
        </w:pPr>
        <w:r w:rsidRPr="009238AD">
          <w:rPr>
            <w:rFonts w:ascii="Verdana" w:hAnsi="Verdana"/>
          </w:rPr>
          <w:t xml:space="preserve">Dirección: </w:t>
        </w:r>
        <w:r w:rsidRPr="009238AD">
          <w:rPr>
            <w:rFonts w:ascii="Verdana" w:hAnsi="Verdana"/>
            <w:shd w:val="clear" w:color="auto" w:fill="FFFFFF"/>
          </w:rPr>
          <w:t xml:space="preserve">Carrera 69 No. 25B - 44. </w:t>
        </w:r>
        <w:r w:rsidRPr="009238AD">
          <w:rPr>
            <w:rFonts w:ascii="Verdana" w:hAnsi="Verdana"/>
            <w:shd w:val="clear" w:color="auto" w:fill="FFFFFF"/>
            <w:lang w:val="en-US"/>
          </w:rPr>
          <w:t xml:space="preserve">Pisos 3, 4 y 7 </w:t>
        </w:r>
      </w:p>
      <w:p w14:paraId="5A594CAB" w14:textId="77777777" w:rsidR="009238AD" w:rsidRPr="009238AD" w:rsidRDefault="009238AD" w:rsidP="009238AD">
        <w:pPr>
          <w:spacing w:after="0" w:line="240" w:lineRule="auto"/>
          <w:jc w:val="both"/>
          <w:rPr>
            <w:rFonts w:ascii="Verdana" w:hAnsi="Verdana"/>
            <w:shd w:val="clear" w:color="auto" w:fill="FFFFFF"/>
            <w:lang w:val="en-US"/>
          </w:rPr>
        </w:pPr>
        <w:r w:rsidRPr="009238AD">
          <w:rPr>
            <w:rFonts w:ascii="Verdana" w:hAnsi="Verdana"/>
            <w:shd w:val="clear" w:color="auto" w:fill="FFFFFF"/>
            <w:lang w:val="en-US"/>
          </w:rPr>
          <w:t>Edificio World Business Port</w:t>
        </w:r>
      </w:p>
      <w:p w14:paraId="2EDF222D" w14:textId="77777777" w:rsidR="009238AD" w:rsidRPr="009238AD" w:rsidRDefault="009238AD" w:rsidP="009238AD">
        <w:pPr>
          <w:spacing w:after="0" w:line="240" w:lineRule="auto"/>
          <w:jc w:val="both"/>
          <w:rPr>
            <w:rFonts w:ascii="Verdana" w:hAnsi="Verdana"/>
          </w:rPr>
        </w:pPr>
        <w:r w:rsidRPr="009238AD">
          <w:rPr>
            <w:rFonts w:ascii="Verdana" w:hAnsi="Verdana"/>
          </w:rPr>
          <w:t xml:space="preserve">Conmutador: (+57) </w:t>
        </w:r>
        <w:r w:rsidRPr="009238AD">
          <w:rPr>
            <w:rFonts w:ascii="Verdana" w:hAnsi="Verdana"/>
            <w:shd w:val="clear" w:color="auto" w:fill="FFFFFF"/>
          </w:rPr>
          <w:t>(601) 348 78 00</w:t>
        </w:r>
      </w:p>
      <w:p w14:paraId="412EDAF6" w14:textId="77777777" w:rsidR="009238AD" w:rsidRPr="009238AD" w:rsidRDefault="009238AD" w:rsidP="009238AD">
        <w:pPr>
          <w:spacing w:after="0" w:line="240" w:lineRule="auto"/>
          <w:jc w:val="both"/>
          <w:rPr>
            <w:rFonts w:ascii="Verdana" w:hAnsi="Verdana"/>
            <w:shd w:val="clear" w:color="auto" w:fill="FFFFFF"/>
          </w:rPr>
        </w:pPr>
        <w:r w:rsidRPr="009238AD">
          <w:rPr>
            <w:rFonts w:ascii="Verdana" w:hAnsi="Verdana"/>
          </w:rPr>
          <w:t xml:space="preserve">Línea Gratuita: (+57) </w:t>
        </w:r>
        <w:r w:rsidRPr="009238AD">
          <w:rPr>
            <w:rFonts w:ascii="Verdana" w:hAnsi="Verdana"/>
            <w:shd w:val="clear" w:color="auto" w:fill="FFFFFF"/>
          </w:rPr>
          <w:t xml:space="preserve">018000 910 110 </w:t>
        </w:r>
      </w:p>
      <w:p w14:paraId="3D92D533" w14:textId="77777777" w:rsidR="009238AD" w:rsidRPr="009238AD" w:rsidRDefault="009238AD" w:rsidP="009238AD">
        <w:pPr>
          <w:spacing w:after="0" w:line="240" w:lineRule="auto"/>
          <w:jc w:val="both"/>
        </w:pPr>
        <w:r w:rsidRPr="009238AD">
          <w:rPr>
            <w:rFonts w:ascii="Verdana" w:hAnsi="Verdana"/>
            <w:shd w:val="clear" w:color="auto" w:fill="FFFFFF"/>
          </w:rPr>
          <w:t xml:space="preserve">Correo institucional: </w:t>
        </w:r>
        <w:hyperlink r:id="rId1" w:history="1">
          <w:r w:rsidRPr="009238AD">
            <w:rPr>
              <w:rStyle w:val="Hipervnculo"/>
              <w:rFonts w:ascii="Verdana" w:hAnsi="Verdana"/>
              <w:color w:val="auto"/>
              <w:shd w:val="clear" w:color="auto" w:fill="FFFFFF"/>
            </w:rPr>
            <w:t>ssf@ssf.gov.co</w:t>
          </w:r>
        </w:hyperlink>
        <w:r w:rsidRPr="009238AD">
          <w:rPr>
            <w:rFonts w:ascii="Verdana" w:hAnsi="Verdana"/>
            <w:shd w:val="clear" w:color="auto" w:fill="FFFFFF"/>
          </w:rPr>
          <w:t xml:space="preserve"> </w:t>
        </w:r>
      </w:p>
    </w:sdtContent>
  </w:sdt>
  <w:p w14:paraId="63C0B867" w14:textId="4509EA75" w:rsidR="008A6F92" w:rsidRPr="009238AD" w:rsidRDefault="008A6F92" w:rsidP="009238AD">
    <w:pPr>
      <w:spacing w:after="0" w:line="240" w:lineRule="auto"/>
      <w:ind w:left="-5" w:right="37"/>
      <w:rPr>
        <w:rFonts w:ascii="Verdana" w:hAnsi="Verdana" w:cs="Arial"/>
        <w:noProof/>
        <w:sz w:val="8"/>
        <w:szCs w:val="8"/>
        <w:lang w:eastAsia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A71B" w14:textId="77777777" w:rsidR="007D5029" w:rsidRDefault="007D5029" w:rsidP="008829A4">
      <w:pPr>
        <w:spacing w:after="0" w:line="240" w:lineRule="auto"/>
      </w:pPr>
      <w:r>
        <w:separator/>
      </w:r>
    </w:p>
  </w:footnote>
  <w:footnote w:type="continuationSeparator" w:id="0">
    <w:p w14:paraId="48BC4142" w14:textId="77777777" w:rsidR="007D5029" w:rsidRDefault="007D5029" w:rsidP="0088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12B" w14:textId="77777777" w:rsidR="008A6F92" w:rsidRDefault="008A6F92">
    <w:pPr>
      <w:pStyle w:val="Encabezado"/>
    </w:pPr>
  </w:p>
  <w:p w14:paraId="6F0BE964" w14:textId="77777777" w:rsidR="008A6F92" w:rsidRDefault="008A6F92"/>
  <w:p w14:paraId="37059B50" w14:textId="77777777" w:rsidR="008A6F92" w:rsidRDefault="008A6F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775E" w14:textId="77777777" w:rsidR="009238AD" w:rsidRDefault="009238AD" w:rsidP="0023358B">
    <w:pPr>
      <w:pStyle w:val="Encabezado"/>
      <w:ind w:right="-57"/>
      <w:rPr>
        <w:rFonts w:cs="Arial"/>
        <w:b/>
        <w:sz w:val="16"/>
        <w:szCs w:val="16"/>
      </w:rPr>
    </w:pPr>
  </w:p>
  <w:p w14:paraId="55176D6E" w14:textId="77777777" w:rsidR="009238AD" w:rsidRDefault="009238AD" w:rsidP="0023358B">
    <w:pPr>
      <w:pStyle w:val="Encabezado"/>
      <w:ind w:right="-57"/>
      <w:rPr>
        <w:rFonts w:cs="Arial"/>
        <w:b/>
        <w:sz w:val="16"/>
        <w:szCs w:val="16"/>
      </w:rPr>
    </w:pPr>
  </w:p>
  <w:p w14:paraId="1D2573BC" w14:textId="78B50F43" w:rsidR="008A6F92" w:rsidRPr="00D4295D" w:rsidRDefault="00051BC3" w:rsidP="0023358B">
    <w:pPr>
      <w:pStyle w:val="Encabezado"/>
      <w:ind w:right="-57"/>
      <w:rPr>
        <w:rFonts w:cs="Arial"/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DA33C01" wp14:editId="3F42FA8E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1280160" cy="618387"/>
          <wp:effectExtent l="0" t="0" r="0" b="0"/>
          <wp:wrapNone/>
          <wp:docPr id="825923262" name="Picture 117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" name="Picture 117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0160" cy="6183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6F92">
      <w:rPr>
        <w:rFonts w:cs="Arial"/>
        <w:b/>
        <w:sz w:val="16"/>
        <w:szCs w:val="16"/>
      </w:rPr>
      <w:t xml:space="preserve">                                                                      </w:t>
    </w:r>
    <w:r w:rsidR="008A6F92">
      <w:rPr>
        <w:rFonts w:ascii="Helvetica" w:hAnsi="Helvetica"/>
        <w:b/>
        <w:color w:val="808080" w:themeColor="background1" w:themeShade="80"/>
        <w:sz w:val="14"/>
        <w:szCs w:val="14"/>
      </w:rPr>
      <w:tab/>
    </w:r>
  </w:p>
  <w:p w14:paraId="2D223E70" w14:textId="77777777" w:rsidR="008829A4" w:rsidRDefault="008829A4" w:rsidP="008829A4">
    <w:pPr>
      <w:spacing w:line="240" w:lineRule="auto"/>
      <w:ind w:left="175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09E9"/>
    <w:multiLevelType w:val="multilevel"/>
    <w:tmpl w:val="D5DC015C"/>
    <w:lvl w:ilvl="0"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7A62166"/>
    <w:multiLevelType w:val="hybridMultilevel"/>
    <w:tmpl w:val="324A937A"/>
    <w:lvl w:ilvl="0" w:tplc="31D2A6AC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4EC4406A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506F6"/>
    <w:multiLevelType w:val="multilevel"/>
    <w:tmpl w:val="99281D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6869784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2331570">
    <w:abstractNumId w:val="1"/>
  </w:num>
  <w:num w:numId="3" w16cid:durableId="436025193">
    <w:abstractNumId w:val="2"/>
  </w:num>
  <w:num w:numId="4" w16cid:durableId="212225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9A4"/>
    <w:rsid w:val="00001C11"/>
    <w:rsid w:val="00002B7B"/>
    <w:rsid w:val="000155FA"/>
    <w:rsid w:val="0004249B"/>
    <w:rsid w:val="000510D8"/>
    <w:rsid w:val="00051BC3"/>
    <w:rsid w:val="00075C95"/>
    <w:rsid w:val="0009781C"/>
    <w:rsid w:val="000B45D9"/>
    <w:rsid w:val="000B5F5E"/>
    <w:rsid w:val="000C4D07"/>
    <w:rsid w:val="000D306C"/>
    <w:rsid w:val="000F7F31"/>
    <w:rsid w:val="00114F38"/>
    <w:rsid w:val="001354F7"/>
    <w:rsid w:val="001377F9"/>
    <w:rsid w:val="001D11F0"/>
    <w:rsid w:val="002A04CC"/>
    <w:rsid w:val="002D276B"/>
    <w:rsid w:val="002D2B21"/>
    <w:rsid w:val="002E26CA"/>
    <w:rsid w:val="002F68DD"/>
    <w:rsid w:val="003508BD"/>
    <w:rsid w:val="003908E7"/>
    <w:rsid w:val="003B5720"/>
    <w:rsid w:val="0040115D"/>
    <w:rsid w:val="00477F73"/>
    <w:rsid w:val="00486D21"/>
    <w:rsid w:val="00496C73"/>
    <w:rsid w:val="005006A1"/>
    <w:rsid w:val="005114BA"/>
    <w:rsid w:val="00520977"/>
    <w:rsid w:val="00553094"/>
    <w:rsid w:val="005575C8"/>
    <w:rsid w:val="005C483A"/>
    <w:rsid w:val="00600298"/>
    <w:rsid w:val="006036F7"/>
    <w:rsid w:val="00630D2D"/>
    <w:rsid w:val="00634705"/>
    <w:rsid w:val="006545EC"/>
    <w:rsid w:val="0066129C"/>
    <w:rsid w:val="00687EEA"/>
    <w:rsid w:val="006B42B8"/>
    <w:rsid w:val="006D247E"/>
    <w:rsid w:val="00702C2D"/>
    <w:rsid w:val="00763FFE"/>
    <w:rsid w:val="007D5029"/>
    <w:rsid w:val="0084389D"/>
    <w:rsid w:val="008626FB"/>
    <w:rsid w:val="008769B4"/>
    <w:rsid w:val="008829A4"/>
    <w:rsid w:val="008A6F92"/>
    <w:rsid w:val="008C1E64"/>
    <w:rsid w:val="008C2DF0"/>
    <w:rsid w:val="008E35DF"/>
    <w:rsid w:val="00921495"/>
    <w:rsid w:val="009238AD"/>
    <w:rsid w:val="009344AC"/>
    <w:rsid w:val="00947C72"/>
    <w:rsid w:val="00953B9C"/>
    <w:rsid w:val="0095431E"/>
    <w:rsid w:val="00980FF4"/>
    <w:rsid w:val="009C1B05"/>
    <w:rsid w:val="009C2AB6"/>
    <w:rsid w:val="009D6606"/>
    <w:rsid w:val="009E3BF3"/>
    <w:rsid w:val="00A006D8"/>
    <w:rsid w:val="00A076A9"/>
    <w:rsid w:val="00A45490"/>
    <w:rsid w:val="00AA5737"/>
    <w:rsid w:val="00AC5239"/>
    <w:rsid w:val="00AF6EA8"/>
    <w:rsid w:val="00B00B54"/>
    <w:rsid w:val="00B140D7"/>
    <w:rsid w:val="00B21A6B"/>
    <w:rsid w:val="00B817D6"/>
    <w:rsid w:val="00BA69D7"/>
    <w:rsid w:val="00BF2362"/>
    <w:rsid w:val="00C3749E"/>
    <w:rsid w:val="00D40CFF"/>
    <w:rsid w:val="00D7744A"/>
    <w:rsid w:val="00D831EC"/>
    <w:rsid w:val="00DA0C17"/>
    <w:rsid w:val="00DA0D17"/>
    <w:rsid w:val="00DF61AD"/>
    <w:rsid w:val="00E13A18"/>
    <w:rsid w:val="00E15F7A"/>
    <w:rsid w:val="00E52962"/>
    <w:rsid w:val="00E824AB"/>
    <w:rsid w:val="00ED31D6"/>
    <w:rsid w:val="00F2633C"/>
    <w:rsid w:val="00F973A2"/>
    <w:rsid w:val="00FB7B93"/>
    <w:rsid w:val="00FC4E18"/>
    <w:rsid w:val="00FD20C5"/>
    <w:rsid w:val="014ADE2D"/>
    <w:rsid w:val="0BF5768E"/>
    <w:rsid w:val="11A879DB"/>
    <w:rsid w:val="129F53E2"/>
    <w:rsid w:val="1476E573"/>
    <w:rsid w:val="14A84EF7"/>
    <w:rsid w:val="15E180A4"/>
    <w:rsid w:val="1707AD2C"/>
    <w:rsid w:val="1A972FAE"/>
    <w:rsid w:val="1F6B3DF0"/>
    <w:rsid w:val="203FC4FB"/>
    <w:rsid w:val="2D75E1BE"/>
    <w:rsid w:val="2E2EEE29"/>
    <w:rsid w:val="3B8E163A"/>
    <w:rsid w:val="3CA1626E"/>
    <w:rsid w:val="426A8856"/>
    <w:rsid w:val="45875C57"/>
    <w:rsid w:val="46ADDAC3"/>
    <w:rsid w:val="46E2BB85"/>
    <w:rsid w:val="4F4E7048"/>
    <w:rsid w:val="5394DA41"/>
    <w:rsid w:val="54D20D2B"/>
    <w:rsid w:val="55777F07"/>
    <w:rsid w:val="569235C4"/>
    <w:rsid w:val="57336D75"/>
    <w:rsid w:val="5CE0CFC8"/>
    <w:rsid w:val="65AE993B"/>
    <w:rsid w:val="675BA0B8"/>
    <w:rsid w:val="688041D4"/>
    <w:rsid w:val="6C020659"/>
    <w:rsid w:val="7084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4B164"/>
  <w15:chartTrackingRefBased/>
  <w15:docId w15:val="{D67ED995-27AF-4AD7-AE76-1DEA6223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9A4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82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2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29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2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29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2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2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2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2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829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29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29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29A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29A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29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29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29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29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82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82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82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82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82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829A4"/>
    <w:rPr>
      <w:i/>
      <w:iCs/>
      <w:color w:val="404040" w:themeColor="text1" w:themeTint="BF"/>
    </w:rPr>
  </w:style>
  <w:style w:type="paragraph" w:styleId="Prrafodelista">
    <w:name w:val="List Paragraph"/>
    <w:aliases w:val="Segundo nivel de viñetas,List Paragraph1,List Paragraph,titulo 3,Lista vistosa - Énfasis 11,Segundo nivel de vi–etas,Bullet List,FooterText,numbered,Paragraphe de liste1,Bulletr List Paragraph,列出段落,列出段落1,List Paragraph2,List Paragraph21"/>
    <w:basedOn w:val="Normal"/>
    <w:link w:val="PrrafodelistaCar"/>
    <w:uiPriority w:val="34"/>
    <w:qFormat/>
    <w:rsid w:val="008829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829A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29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829A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829A4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rsid w:val="008829A4"/>
    <w:pPr>
      <w:tabs>
        <w:tab w:val="center" w:pos="4252"/>
        <w:tab w:val="right" w:pos="8504"/>
      </w:tabs>
      <w:spacing w:before="40" w:after="40" w:line="240" w:lineRule="auto"/>
      <w:jc w:val="both"/>
    </w:pPr>
    <w:rPr>
      <w:rFonts w:ascii="Arial" w:eastAsia="Times New Roman" w:hAnsi="Arial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829A4"/>
    <w:rPr>
      <w:rFonts w:ascii="Arial" w:eastAsia="Times New Roman" w:hAnsi="Arial" w:cs="Times New Roman"/>
      <w:kern w:val="0"/>
      <w:szCs w:val="24"/>
      <w:lang w:val="es-ES" w:eastAsia="es-ES"/>
      <w14:ligatures w14:val="none"/>
    </w:rPr>
  </w:style>
  <w:style w:type="character" w:styleId="Hipervnculo">
    <w:name w:val="Hyperlink"/>
    <w:rsid w:val="008829A4"/>
    <w:rPr>
      <w:color w:val="0000FF"/>
      <w:u w:val="single"/>
    </w:rPr>
  </w:style>
  <w:style w:type="character" w:customStyle="1" w:styleId="PrrafodelistaCar">
    <w:name w:val="Párrafo de lista Car"/>
    <w:aliases w:val="Segundo nivel de viñetas Car,List Paragraph1 Car,List Paragraph Car,titulo 3 Car,Lista vistosa - Énfasis 11 Car,Segundo nivel de vi–etas Car,Bullet List Car,FooterText Car,numbered Car,Paragraphe de liste1 Car,列出段落 Car,列出段落1 Car"/>
    <w:link w:val="Prrafodelista"/>
    <w:uiPriority w:val="34"/>
    <w:qFormat/>
    <w:rsid w:val="008829A4"/>
  </w:style>
  <w:style w:type="character" w:styleId="Nmerodepgina">
    <w:name w:val="page number"/>
    <w:basedOn w:val="Fuentedeprrafopredeter"/>
    <w:uiPriority w:val="99"/>
    <w:unhideWhenUsed/>
    <w:rsid w:val="008829A4"/>
  </w:style>
  <w:style w:type="paragraph" w:styleId="Piedepgina">
    <w:name w:val="footer"/>
    <w:basedOn w:val="Normal"/>
    <w:link w:val="PiedepginaCar"/>
    <w:uiPriority w:val="99"/>
    <w:unhideWhenUsed/>
    <w:rsid w:val="00882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29A4"/>
    <w:rPr>
      <w:rFonts w:ascii="Calibri" w:eastAsia="Calibri" w:hAnsi="Calibri" w:cs="Times New Roman"/>
      <w:kern w:val="0"/>
      <w:lang w:val="es-ES"/>
      <w14:ligatures w14:val="none"/>
    </w:rPr>
  </w:style>
  <w:style w:type="character" w:styleId="Refdecomentario">
    <w:name w:val="annotation reference"/>
    <w:uiPriority w:val="99"/>
    <w:rsid w:val="008829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829A4"/>
    <w:pPr>
      <w:widowControl w:val="0"/>
      <w:spacing w:after="0" w:line="240" w:lineRule="auto"/>
    </w:pPr>
    <w:rPr>
      <w:rFonts w:ascii="Verdana" w:eastAsia="Times New Roman" w:hAnsi="Verdana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829A4"/>
    <w:rPr>
      <w:rFonts w:ascii="Verdana" w:eastAsia="Times New Roman" w:hAnsi="Verdana" w:cs="Times New Roman"/>
      <w:kern w:val="0"/>
      <w:sz w:val="20"/>
      <w:szCs w:val="20"/>
      <w:lang w:val="es-ES_tradnl" w:eastAsia="es-ES"/>
      <w14:ligatures w14:val="none"/>
    </w:rPr>
  </w:style>
  <w:style w:type="paragraph" w:styleId="Textoindependiente">
    <w:name w:val="Body Text"/>
    <w:basedOn w:val="Normal"/>
    <w:link w:val="TextoindependienteCar"/>
    <w:rsid w:val="008829A4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8829A4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customStyle="1" w:styleId="Default">
    <w:name w:val="Default"/>
    <w:link w:val="DefaultCar"/>
    <w:qFormat/>
    <w:rsid w:val="008829A4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qFormat/>
    <w:locked/>
    <w:rsid w:val="008829A4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8829A4"/>
    <w:pPr>
      <w:spacing w:after="0" w:line="240" w:lineRule="auto"/>
    </w:pPr>
    <w:rPr>
      <w:rFonts w:ascii="Calibri" w:eastAsia="MS Mincho" w:hAnsi="Calibri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qFormat/>
    <w:rsid w:val="00E529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E15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sf@ssf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0830522746AE45BF1007891E2AB3AC" ma:contentTypeVersion="17" ma:contentTypeDescription="Crear nuevo documento." ma:contentTypeScope="" ma:versionID="976b154de89100e5a2e430c1384473a1">
  <xsd:schema xmlns:xsd="http://www.w3.org/2001/XMLSchema" xmlns:xs="http://www.w3.org/2001/XMLSchema" xmlns:p="http://schemas.microsoft.com/office/2006/metadata/properties" xmlns:ns2="700328ee-3d91-4171-b944-6275893d01f6" xmlns:ns3="62659eed-2f36-4e3a-bf7a-6f4f9d8b85be" targetNamespace="http://schemas.microsoft.com/office/2006/metadata/properties" ma:root="true" ma:fieldsID="702c678eb7f789189df8bcc2353c5640" ns2:_="" ns3:_="">
    <xsd:import namespace="700328ee-3d91-4171-b944-6275893d01f6"/>
    <xsd:import namespace="62659eed-2f36-4e3a-bf7a-6f4f9d8b8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328ee-3d91-4171-b944-6275893d0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659eed-2f36-4e3a-bf7a-6f4f9d8b85b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ebf641e-b49d-4eb3-8c1a-745a92b18192}" ma:internalName="TaxCatchAll" ma:showField="CatchAllData" ma:web="62659eed-2f36-4e3a-bf7a-6f4f9d8b85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0328ee-3d91-4171-b944-6275893d01f6">
      <Terms xmlns="http://schemas.microsoft.com/office/infopath/2007/PartnerControls"/>
    </lcf76f155ced4ddcb4097134ff3c332f>
    <TaxCatchAll xmlns="62659eed-2f36-4e3a-bf7a-6f4f9d8b85be" xsi:nil="true"/>
  </documentManagement>
</p:properties>
</file>

<file path=customXml/itemProps1.xml><?xml version="1.0" encoding="utf-8"?>
<ds:datastoreItem xmlns:ds="http://schemas.openxmlformats.org/officeDocument/2006/customXml" ds:itemID="{664C6A5C-33B0-4E0D-93A6-7BDD47166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328ee-3d91-4171-b944-6275893d01f6"/>
    <ds:schemaRef ds:uri="62659eed-2f36-4e3a-bf7a-6f4f9d8b8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0E8C1-886B-4AC3-8B2C-5970CE305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848A3-8B66-4F5C-95D9-E318E548DA2C}">
  <ds:schemaRefs>
    <ds:schemaRef ds:uri="http://schemas.microsoft.com/office/2006/metadata/properties"/>
    <ds:schemaRef ds:uri="http://schemas.microsoft.com/office/infopath/2007/PartnerControls"/>
    <ds:schemaRef ds:uri="700328ee-3d91-4171-b944-6275893d01f6"/>
    <ds:schemaRef ds:uri="62659eed-2f36-4e3a-bf7a-6f4f9d8b85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1600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Diego Trujillo Alvira</dc:creator>
  <cp:keywords/>
  <dc:description/>
  <cp:lastModifiedBy>Helder Alexis Pineda Muñoz</cp:lastModifiedBy>
  <cp:revision>23</cp:revision>
  <dcterms:created xsi:type="dcterms:W3CDTF">2026-05-19T15:11:00Z</dcterms:created>
  <dcterms:modified xsi:type="dcterms:W3CDTF">2026-05-21T00:15:00Z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0x0101002F0830522746AE45BF1007891E2AB3AC</vt:lpwstr>
  </property>
  <property fmtid="{D5CDD505-2E9C-101B-9397-08002B2CF9AE}" pid="3" name="MediaServiceImageTags">
    <vt:lpwstr/>
  </property>
</Properties>
</file>